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E3" w:rsidRPr="009045A9" w:rsidRDefault="00033CE3" w:rsidP="00062CA3">
      <w:pPr>
        <w:pStyle w:val="text1cl"/>
        <w:spacing w:before="0" w:after="0"/>
        <w:ind w:firstLine="709"/>
        <w:rPr>
          <w:b/>
          <w:bCs/>
          <w:color w:val="0000FF"/>
        </w:rPr>
      </w:pPr>
      <w:bookmarkStart w:id="0" w:name="_GoBack"/>
      <w:bookmarkEnd w:id="0"/>
      <w:r w:rsidRPr="009045A9">
        <w:rPr>
          <w:b/>
          <w:bCs/>
          <w:color w:val="0000FF"/>
        </w:rPr>
        <w:t>ПОЛОЖЕНИЕ</w:t>
      </w:r>
    </w:p>
    <w:p w:rsidR="00033CE3" w:rsidRPr="009045A9" w:rsidRDefault="00033CE3" w:rsidP="00062CA3">
      <w:pPr>
        <w:pStyle w:val="ae"/>
        <w:ind w:left="709"/>
        <w:jc w:val="center"/>
        <w:rPr>
          <w:b/>
          <w:bCs/>
          <w:color w:val="0000FF"/>
        </w:rPr>
      </w:pPr>
      <w:r w:rsidRPr="009045A9">
        <w:rPr>
          <w:b/>
          <w:bCs/>
          <w:color w:val="0000FF"/>
        </w:rPr>
        <w:t>о конкурсе социальных идей и проектов</w:t>
      </w:r>
      <w:r w:rsidR="00FD2135" w:rsidRPr="009045A9">
        <w:rPr>
          <w:b/>
          <w:bCs/>
          <w:color w:val="0000FF"/>
        </w:rPr>
        <w:t xml:space="preserve"> </w:t>
      </w:r>
    </w:p>
    <w:p w:rsidR="00FD2135" w:rsidRPr="00B650DB" w:rsidRDefault="00FD2135" w:rsidP="001E787D">
      <w:pPr>
        <w:tabs>
          <w:tab w:val="left" w:pos="3780"/>
        </w:tabs>
        <w:jc w:val="center"/>
        <w:outlineLvl w:val="0"/>
        <w:rPr>
          <w:b/>
        </w:rPr>
      </w:pPr>
    </w:p>
    <w:p w:rsidR="00B650DB" w:rsidRDefault="00B650DB" w:rsidP="00B650DB">
      <w:pPr>
        <w:tabs>
          <w:tab w:val="left" w:pos="3780"/>
        </w:tabs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B650DB" w:rsidRDefault="00B650DB" w:rsidP="00B650DB">
      <w:pPr>
        <w:ind w:left="705"/>
        <w:jc w:val="center"/>
        <w:outlineLvl w:val="0"/>
        <w:rPr>
          <w:b/>
          <w:color w:val="0000FF"/>
        </w:rPr>
      </w:pPr>
    </w:p>
    <w:p w:rsidR="00B650DB" w:rsidRDefault="00B650DB" w:rsidP="00B650DB">
      <w:pPr>
        <w:ind w:firstLine="708"/>
        <w:jc w:val="both"/>
        <w:outlineLvl w:val="0"/>
      </w:pPr>
      <w:r>
        <w:t>1. Настоящее Положение определяет условия и порядок проведения конкурса социальных ид</w:t>
      </w:r>
      <w:r w:rsidR="00565430">
        <w:t xml:space="preserve">ей и проектов (далее - конкурс), организуемого Фондом Первого Президента </w:t>
      </w:r>
      <w:r w:rsidR="00D11469">
        <w:t>Р</w:t>
      </w:r>
      <w:r w:rsidR="00565430">
        <w:t xml:space="preserve">еспублики Казахстан – </w:t>
      </w:r>
      <w:r w:rsidR="00560B0E">
        <w:t>Елбасы</w:t>
      </w:r>
      <w:r w:rsidR="00565430">
        <w:t xml:space="preserve"> (далее - Фонд) в рамках ежегодной выставки-презентации «Ярмарка социальных идей и проектов» (далее – выставка-презентация).</w:t>
      </w:r>
    </w:p>
    <w:p w:rsidR="00B650DB" w:rsidRDefault="00B650DB" w:rsidP="00B650DB">
      <w:pPr>
        <w:pStyle w:val="p-center"/>
        <w:shd w:val="clear" w:color="auto" w:fill="FFFFFF"/>
        <w:ind w:firstLine="708"/>
        <w:jc w:val="both"/>
      </w:pPr>
      <w:r>
        <w:t>2. Целью конкурса является привлечение общественности к решению задач социально-эко</w:t>
      </w:r>
      <w:r w:rsidR="00565430">
        <w:t>номического развития республики и</w:t>
      </w:r>
      <w:r>
        <w:t xml:space="preserve"> поддержка гражданских инициатив </w:t>
      </w:r>
      <w:r w:rsidR="00565430">
        <w:t>в решении социальных и общественно значимых проблем территорий</w:t>
      </w:r>
      <w:r>
        <w:t>.</w:t>
      </w:r>
    </w:p>
    <w:p w:rsidR="00E5642B" w:rsidRPr="00E5642B" w:rsidRDefault="00E5642B" w:rsidP="00B650DB">
      <w:pPr>
        <w:shd w:val="clear" w:color="auto" w:fill="FFFFFF"/>
        <w:jc w:val="center"/>
        <w:rPr>
          <w:b/>
        </w:rPr>
      </w:pPr>
    </w:p>
    <w:p w:rsidR="00B650DB" w:rsidRPr="00E5642B" w:rsidRDefault="00B650DB" w:rsidP="00B650DB">
      <w:pPr>
        <w:shd w:val="clear" w:color="auto" w:fill="FFFFFF"/>
        <w:jc w:val="center"/>
        <w:rPr>
          <w:b/>
        </w:rPr>
      </w:pPr>
      <w:r>
        <w:rPr>
          <w:b/>
        </w:rPr>
        <w:t xml:space="preserve">2. </w:t>
      </w:r>
      <w:r w:rsidR="00E5642B">
        <w:rPr>
          <w:b/>
        </w:rPr>
        <w:t>Общий порядок проведения конкурса</w:t>
      </w:r>
    </w:p>
    <w:p w:rsidR="00B650DB" w:rsidRDefault="00B650DB" w:rsidP="00B650DB">
      <w:pPr>
        <w:ind w:firstLine="708"/>
        <w:jc w:val="both"/>
        <w:outlineLvl w:val="0"/>
      </w:pPr>
    </w:p>
    <w:p w:rsidR="00E5642B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8F1339">
        <w:t xml:space="preserve">Тематика и номинации конкурса устанавливаются </w:t>
      </w:r>
      <w:r>
        <w:t>Фондом на ежегодной основе</w:t>
      </w:r>
      <w:r w:rsidRPr="008F1339">
        <w:t xml:space="preserve">. </w:t>
      </w:r>
    </w:p>
    <w:p w:rsidR="00E5642B" w:rsidRPr="00282352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282352">
        <w:t xml:space="preserve">Объявление о проведении конкурса публикуется в </w:t>
      </w:r>
      <w:r w:rsidR="00D11469">
        <w:t>республиканских печатных СМИ</w:t>
      </w:r>
      <w:r w:rsidRPr="00282352">
        <w:t xml:space="preserve"> и размещается на сайте Фонда </w:t>
      </w:r>
      <w:hyperlink r:id="rId7" w:history="1">
        <w:r w:rsidRPr="00A30C21">
          <w:rPr>
            <w:rStyle w:val="af7"/>
          </w:rPr>
          <w:t>www.fpp.kz</w:t>
        </w:r>
      </w:hyperlink>
      <w:r>
        <w:t>.</w:t>
      </w:r>
    </w:p>
    <w:p w:rsidR="00E5642B" w:rsidRPr="000D75C6" w:rsidRDefault="00E5642B" w:rsidP="00E5642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8"/>
        <w:jc w:val="both"/>
      </w:pPr>
      <w:r w:rsidRPr="000D75C6">
        <w:t>К участию в конкурсе допускаются негосударственные некоммерческие организации, за исключением политических партий, профессиональных союзов, религиозных объединений.</w:t>
      </w:r>
    </w:p>
    <w:p w:rsidR="00E5642B" w:rsidRPr="008F1339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8F1339">
        <w:t>Конкурс проводится в три этапа: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первый</w:t>
      </w:r>
      <w:r w:rsidRPr="008F1339">
        <w:t xml:space="preserve"> этап - прием заявок и конкурсной документации; 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второй</w:t>
      </w:r>
      <w:r w:rsidRPr="008F1339">
        <w:t xml:space="preserve"> этап - оценка представленных заявок членами конкурсной комиссии;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третий</w:t>
      </w:r>
      <w:r w:rsidRPr="008F1339">
        <w:t xml:space="preserve"> этап - проведение выставки-презентации проектов и определение победителей конкурса. 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</w:pPr>
      <w:r>
        <w:t xml:space="preserve">Число конкурсных заявок и участников конкурса не ограничивается. </w:t>
      </w:r>
    </w:p>
    <w:p w:rsidR="00E5642B" w:rsidRPr="00A30C21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527818">
        <w:t xml:space="preserve">Победители конкурса </w:t>
      </w:r>
      <w:r>
        <w:t xml:space="preserve">определяются решением конкурсной комиссии и </w:t>
      </w:r>
      <w:r w:rsidRPr="00527818">
        <w:t xml:space="preserve">награждаются дипломами </w:t>
      </w:r>
      <w:r>
        <w:t>с выделением благотворительного (спонсорского) финансирования</w:t>
      </w:r>
      <w:r w:rsidRPr="00527818">
        <w:t xml:space="preserve"> </w:t>
      </w:r>
      <w:r>
        <w:t>из средств Фонда для</w:t>
      </w:r>
      <w:r w:rsidRPr="00A30C21">
        <w:rPr>
          <w:color w:val="000000"/>
        </w:rPr>
        <w:t xml:space="preserve"> </w:t>
      </w:r>
      <w:r>
        <w:rPr>
          <w:color w:val="000000"/>
        </w:rPr>
        <w:t xml:space="preserve">поддержки </w:t>
      </w:r>
      <w:r w:rsidRPr="00A30C21">
        <w:rPr>
          <w:color w:val="000000"/>
        </w:rPr>
        <w:t>реализации проект</w:t>
      </w:r>
      <w:r>
        <w:rPr>
          <w:color w:val="000000"/>
        </w:rPr>
        <w:t>ов.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</w:pPr>
      <w:r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Все </w:t>
      </w:r>
      <w:r w:rsidRPr="008F1339">
        <w:t>участники конкурса награждаются благодарственными письмами.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>Вся и</w:t>
      </w:r>
      <w:r w:rsidRPr="008F1339">
        <w:rPr>
          <w:color w:val="000000"/>
        </w:rPr>
        <w:t>нформация о</w:t>
      </w:r>
      <w:r>
        <w:rPr>
          <w:color w:val="000000"/>
        </w:rPr>
        <w:t xml:space="preserve"> </w:t>
      </w:r>
      <w:r w:rsidRPr="008F1339">
        <w:rPr>
          <w:color w:val="000000"/>
        </w:rPr>
        <w:t>конкурс</w:t>
      </w:r>
      <w:r>
        <w:rPr>
          <w:color w:val="000000"/>
        </w:rPr>
        <w:t>е и его итогах</w:t>
      </w:r>
      <w:r w:rsidRPr="008F1339">
        <w:rPr>
          <w:color w:val="000000"/>
        </w:rPr>
        <w:t xml:space="preserve"> размещается на сайте Фонда</w:t>
      </w:r>
      <w:r>
        <w:rPr>
          <w:color w:val="000000"/>
        </w:rPr>
        <w:t>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>Организационное сопровождение конкурса обеспечивается уполномоченным представителем Фонда.</w:t>
      </w:r>
    </w:p>
    <w:p w:rsidR="00B650DB" w:rsidRDefault="00B650DB" w:rsidP="00B650DB">
      <w:pPr>
        <w:jc w:val="both"/>
        <w:rPr>
          <w:b/>
          <w:color w:val="0000FF"/>
        </w:rPr>
      </w:pPr>
    </w:p>
    <w:p w:rsidR="00B650DB" w:rsidRDefault="00B650DB" w:rsidP="00B650DB">
      <w:pPr>
        <w:jc w:val="center"/>
        <w:rPr>
          <w:b/>
        </w:rPr>
      </w:pPr>
      <w:r>
        <w:rPr>
          <w:b/>
        </w:rPr>
        <w:t xml:space="preserve">3. </w:t>
      </w:r>
      <w:r w:rsidR="00E5642B">
        <w:rPr>
          <w:b/>
        </w:rPr>
        <w:t>Порядок подачи конкурсных заявок</w:t>
      </w:r>
    </w:p>
    <w:p w:rsidR="00B650DB" w:rsidRDefault="00B650DB" w:rsidP="00B650DB">
      <w:pPr>
        <w:jc w:val="both"/>
      </w:pPr>
    </w:p>
    <w:p w:rsidR="00E5642B" w:rsidRPr="000D75C6" w:rsidRDefault="00E5642B" w:rsidP="0068280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</w:pPr>
      <w:r w:rsidRPr="000D75C6">
        <w:t xml:space="preserve">Для участия в конкурсе необходимо предоставить </w:t>
      </w:r>
      <w:r w:rsidRPr="000D75C6">
        <w:rPr>
          <w:color w:val="000000"/>
        </w:rPr>
        <w:t>к</w:t>
      </w:r>
      <w:r w:rsidRPr="000D75C6">
        <w:t>онкурсную документацию, включающую следующие документы:</w:t>
      </w:r>
    </w:p>
    <w:p w:rsidR="00E5642B" w:rsidRPr="000D75C6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 w:rsidRPr="000D75C6">
        <w:t>заявку на участие в конкурсе</w:t>
      </w:r>
      <w:r>
        <w:t>, оформленную в соответствии с требованиями, указанными в пункте 12 настоящего положения</w:t>
      </w:r>
      <w:r w:rsidRPr="000D75C6">
        <w:t>;</w:t>
      </w:r>
    </w:p>
    <w:p w:rsidR="00E5642B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>
        <w:t>документы, подтверждающие статус заявителя, а именно:</w:t>
      </w:r>
    </w:p>
    <w:p w:rsidR="00E5642B" w:rsidRPr="000D75C6" w:rsidRDefault="006344C7" w:rsidP="00E5642B">
      <w:pPr>
        <w:tabs>
          <w:tab w:val="left" w:pos="993"/>
        </w:tabs>
        <w:ind w:firstLine="708"/>
        <w:jc w:val="both"/>
      </w:pPr>
      <w:r>
        <w:t xml:space="preserve">- </w:t>
      </w:r>
      <w:r w:rsidR="00E5642B" w:rsidRPr="000D75C6">
        <w:t>копию свидетельства о регистрации организации в качестве юридического лица;</w:t>
      </w:r>
    </w:p>
    <w:p w:rsidR="00E5642B" w:rsidRPr="000D75C6" w:rsidRDefault="00E5642B" w:rsidP="00E5642B">
      <w:pPr>
        <w:tabs>
          <w:tab w:val="left" w:pos="993"/>
        </w:tabs>
        <w:ind w:firstLine="708"/>
        <w:jc w:val="both"/>
      </w:pPr>
      <w:r w:rsidRPr="000D75C6">
        <w:t>копию устава;</w:t>
      </w:r>
    </w:p>
    <w:p w:rsidR="00E5642B" w:rsidRPr="000D75C6" w:rsidRDefault="006344C7" w:rsidP="00E5642B">
      <w:pPr>
        <w:tabs>
          <w:tab w:val="left" w:pos="993"/>
        </w:tabs>
        <w:ind w:firstLine="708"/>
        <w:jc w:val="both"/>
        <w:rPr>
          <w:b/>
          <w:bCs/>
        </w:rPr>
      </w:pPr>
      <w:r>
        <w:t xml:space="preserve">- </w:t>
      </w:r>
      <w:r w:rsidR="00E5642B" w:rsidRPr="000D75C6">
        <w:t>с</w:t>
      </w:r>
      <w:r w:rsidR="00E5642B" w:rsidRPr="000D75C6">
        <w:rPr>
          <w:bCs/>
        </w:rPr>
        <w:t>писок руководящего сос</w:t>
      </w:r>
      <w:r>
        <w:rPr>
          <w:bCs/>
        </w:rPr>
        <w:t>тава организации.</w:t>
      </w:r>
    </w:p>
    <w:p w:rsidR="00E5642B" w:rsidRPr="000D75C6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>
        <w:t xml:space="preserve">рекомендательные </w:t>
      </w:r>
      <w:r w:rsidRPr="000D75C6">
        <w:t xml:space="preserve">письма в поддержку </w:t>
      </w:r>
      <w:r>
        <w:t xml:space="preserve">заявленного </w:t>
      </w:r>
      <w:r w:rsidRPr="000D75C6">
        <w:t>проекта.</w:t>
      </w:r>
    </w:p>
    <w:p w:rsidR="00E5642B" w:rsidRPr="000D75C6" w:rsidRDefault="00E5642B" w:rsidP="00505517">
      <w:pPr>
        <w:pStyle w:val="ab"/>
        <w:numPr>
          <w:ilvl w:val="0"/>
          <w:numId w:val="14"/>
        </w:numPr>
        <w:tabs>
          <w:tab w:val="left" w:pos="540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t>Заявка должна соответствовать тематическим направлениям конкурса и содержать следующие сведения: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 xml:space="preserve">информация об организации, ее миссии и основных направлениях деятельности; 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lastRenderedPageBreak/>
        <w:t xml:space="preserve">наименование </w:t>
      </w:r>
      <w:r>
        <w:rPr>
          <w:color w:val="000000"/>
        </w:rPr>
        <w:t xml:space="preserve">конкурсной </w:t>
      </w:r>
      <w:r w:rsidRPr="000D75C6">
        <w:rPr>
          <w:color w:val="000000"/>
        </w:rPr>
        <w:t xml:space="preserve">номинации; 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наименование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краткое описание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описание цели и основных задач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постановка проблемы;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территория реализации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целевая группа;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ожидаемые результаты;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критерии оценки эффективности реализации проекта;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устойчивость проекта;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обоснованный календарный план проекта с расшифровкой статей предполагаемых расходов.</w:t>
      </w:r>
    </w:p>
    <w:p w:rsidR="00E5642B" w:rsidRPr="003A182C" w:rsidRDefault="00E5642B" w:rsidP="007E756E">
      <w:pPr>
        <w:pStyle w:val="af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8"/>
        <w:jc w:val="both"/>
      </w:pPr>
      <w:r w:rsidRPr="003A182C">
        <w:t>Заявка на участие в конкурсе должна быть направлена не позже объявленного срока представления и до начала реализации заявленного на конкурс проекта.</w:t>
      </w:r>
    </w:p>
    <w:p w:rsidR="00E5642B" w:rsidRDefault="00E5642B" w:rsidP="007E756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  <w:rPr>
          <w:color w:val="0000FF"/>
        </w:rPr>
      </w:pPr>
      <w:r w:rsidRPr="000D75C6">
        <w:t xml:space="preserve">Заявка подается в электронном </w:t>
      </w:r>
      <w:r w:rsidR="006344C7">
        <w:t xml:space="preserve">и </w:t>
      </w:r>
      <w:r w:rsidRPr="000D75C6">
        <w:t>печатн</w:t>
      </w:r>
      <w:r w:rsidR="006344C7">
        <w:t>ом виде</w:t>
      </w:r>
      <w:r w:rsidRPr="00A30C21">
        <w:rPr>
          <w:b/>
        </w:rPr>
        <w:t xml:space="preserve"> </w:t>
      </w:r>
      <w:r w:rsidRPr="000D75C6">
        <w:t>(по почте или с курьером) и направляется с пометкой «Конкурс социальных идей и проектов» по адресу: 050059, Республика Казахстан, г.</w:t>
      </w:r>
      <w:r>
        <w:t xml:space="preserve"> </w:t>
      </w:r>
      <w:r w:rsidRPr="000D75C6">
        <w:t xml:space="preserve">Алматы, ул. </w:t>
      </w:r>
      <w:r w:rsidR="00560B0E">
        <w:t>Иванилова</w:t>
      </w:r>
      <w:r w:rsidRPr="000D75C6">
        <w:t>, 1</w:t>
      </w:r>
      <w:r w:rsidR="00560B0E">
        <w:t>2 А</w:t>
      </w:r>
      <w:r w:rsidRPr="000D75C6">
        <w:t xml:space="preserve">, Фонд Первого Президента Республики Казахстан – </w:t>
      </w:r>
      <w:proofErr w:type="spellStart"/>
      <w:r w:rsidR="00560B0E">
        <w:t>Елбасы</w:t>
      </w:r>
      <w:proofErr w:type="spellEnd"/>
      <w:r w:rsidRPr="000D75C6">
        <w:t>.</w:t>
      </w:r>
      <w:r>
        <w:t xml:space="preserve"> </w:t>
      </w:r>
      <w:r w:rsidRPr="000D75C6">
        <w:t>Адрес электронной почты:</w:t>
      </w:r>
      <w:r w:rsidRPr="00A30C21">
        <w:rPr>
          <w:color w:val="0000FF"/>
        </w:rPr>
        <w:t xml:space="preserve"> </w:t>
      </w:r>
      <w:r w:rsidR="00560B0E" w:rsidRPr="00560B0E">
        <w:rPr>
          <w:bCs/>
          <w:color w:val="0000FF"/>
        </w:rPr>
        <w:t>innova</w:t>
      </w:r>
      <w:r w:rsidR="00560B0E" w:rsidRPr="00560B0E">
        <w:rPr>
          <w:color w:val="0000FF"/>
        </w:rPr>
        <w:t>proekt@fpp.kz</w:t>
      </w:r>
    </w:p>
    <w:p w:rsidR="00E5642B" w:rsidRPr="008F1339" w:rsidRDefault="00E5642B" w:rsidP="007E756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  <w:rPr>
          <w:color w:val="0000FF"/>
        </w:rPr>
      </w:pPr>
      <w:r>
        <w:t>П</w:t>
      </w:r>
      <w:r w:rsidRPr="000D75C6">
        <w:t xml:space="preserve">редставленные на конкурс </w:t>
      </w:r>
      <w:r>
        <w:t>п</w:t>
      </w:r>
      <w:r w:rsidRPr="000D75C6">
        <w:t xml:space="preserve">роекты и документация </w:t>
      </w:r>
      <w:r>
        <w:t xml:space="preserve">заявителям </w:t>
      </w:r>
      <w:r w:rsidRPr="000D75C6">
        <w:t>не возвращаются.</w:t>
      </w:r>
    </w:p>
    <w:p w:rsidR="00E5642B" w:rsidRPr="008F1339" w:rsidRDefault="00E5642B" w:rsidP="007E756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  <w:rPr>
          <w:spacing w:val="-3"/>
        </w:rPr>
      </w:pPr>
      <w:r>
        <w:t>Заявки, не соответствующие установленным конкурсным требованиям, к участию в конкурсе</w:t>
      </w:r>
      <w:r w:rsidRPr="001F7E5F">
        <w:t xml:space="preserve"> </w:t>
      </w:r>
      <w:r>
        <w:t xml:space="preserve">не допускаются. </w:t>
      </w:r>
    </w:p>
    <w:p w:rsidR="00E5642B" w:rsidRPr="000D75C6" w:rsidRDefault="00E5642B" w:rsidP="007E756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  <w:rPr>
          <w:spacing w:val="-3"/>
        </w:rPr>
      </w:pPr>
      <w:r w:rsidRPr="000D75C6">
        <w:t xml:space="preserve">Мотивы отклонения конкурсных заявок </w:t>
      </w:r>
      <w:r>
        <w:t>заявителям</w:t>
      </w:r>
      <w:r w:rsidRPr="000D75C6">
        <w:t xml:space="preserve"> не сообщаются.</w:t>
      </w:r>
    </w:p>
    <w:p w:rsidR="00E5642B" w:rsidRDefault="00E5642B" w:rsidP="00B650D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</w:rPr>
      </w:pPr>
    </w:p>
    <w:p w:rsidR="00B650DB" w:rsidRDefault="00B650DB" w:rsidP="00E5642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</w:rPr>
      </w:pPr>
      <w:r>
        <w:rPr>
          <w:b/>
        </w:rPr>
        <w:t xml:space="preserve">4. Порядок </w:t>
      </w:r>
      <w:r w:rsidR="00E5642B">
        <w:rPr>
          <w:b/>
        </w:rPr>
        <w:t>проведения выставки-презентации</w:t>
      </w:r>
    </w:p>
    <w:p w:rsidR="00E5642B" w:rsidRDefault="00E5642B" w:rsidP="00E5642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  <w:color w:val="0000FF"/>
        </w:rPr>
      </w:pPr>
    </w:p>
    <w:p w:rsidR="00E5642B" w:rsidRDefault="00E5642B" w:rsidP="006344C7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>Место проведения выставки-презентации определяется решением конкурсной комиссии в одном из регионов Казахстана.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 xml:space="preserve">На выставку-презентацию приглашаются все </w:t>
      </w:r>
      <w:r>
        <w:t xml:space="preserve">допущенные к </w:t>
      </w:r>
      <w:r w:rsidR="00792A5B">
        <w:t>ней</w:t>
      </w:r>
      <w:r>
        <w:t xml:space="preserve"> участники</w:t>
      </w:r>
      <w:r w:rsidRPr="008F1339">
        <w:t xml:space="preserve">. 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 xml:space="preserve">Участники выставки-презентации оформляют собственные стенды со следующей информацией: 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название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jc w:val="both"/>
      </w:pPr>
      <w:r>
        <w:t>фамилии, имена, отчества</w:t>
      </w:r>
      <w:r w:rsidRPr="008F1339">
        <w:t xml:space="preserve"> авторов/руководителей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полное название организации;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цели и задачи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планируемые результаты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необходимая поддержка для реализации проекта с указанием конкретных расходов (финансовые средства, материалы, услуги);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имеющиеся собственные средства, которые могут быть использованы для реализации проекта.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jc w:val="both"/>
      </w:pPr>
      <w:r w:rsidRPr="008F1339">
        <w:t>Наличие раздаточного материала приветствуется.</w:t>
      </w:r>
    </w:p>
    <w:p w:rsidR="00E5642B" w:rsidRPr="00342225" w:rsidRDefault="00E5642B" w:rsidP="00E5642B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342225">
        <w:rPr>
          <w:color w:val="000000"/>
        </w:rPr>
        <w:t>Конкурсная комиссия вправе запрашивать дополнительные сведения от участников конкурса для оценки проектов.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1134"/>
        </w:tabs>
        <w:ind w:left="0" w:firstLine="708"/>
        <w:jc w:val="both"/>
      </w:pPr>
      <w:r>
        <w:t>Информационные стенды должны быть представлены участниками не позднее указанного организатором конкурса срока.</w:t>
      </w:r>
    </w:p>
    <w:p w:rsidR="00030E10" w:rsidRDefault="00030E10" w:rsidP="00E5642B">
      <w:pPr>
        <w:pStyle w:val="ab"/>
        <w:tabs>
          <w:tab w:val="left" w:pos="567"/>
        </w:tabs>
        <w:spacing w:before="0" w:after="0"/>
        <w:jc w:val="both"/>
        <w:rPr>
          <w:b/>
        </w:rPr>
      </w:pPr>
    </w:p>
    <w:p w:rsidR="00B650DB" w:rsidRDefault="00B650DB" w:rsidP="00030E10">
      <w:pPr>
        <w:pStyle w:val="ab"/>
        <w:tabs>
          <w:tab w:val="left" w:pos="567"/>
        </w:tabs>
        <w:spacing w:before="0" w:after="0"/>
        <w:jc w:val="center"/>
        <w:rPr>
          <w:b/>
        </w:rPr>
      </w:pPr>
      <w:r>
        <w:rPr>
          <w:b/>
        </w:rPr>
        <w:t xml:space="preserve">5. </w:t>
      </w:r>
      <w:r w:rsidR="00030E10">
        <w:rPr>
          <w:b/>
        </w:rPr>
        <w:t>Порядок работы конкурсной комиссии</w:t>
      </w:r>
    </w:p>
    <w:p w:rsidR="00B650DB" w:rsidRPr="00030E10" w:rsidRDefault="00B650DB" w:rsidP="00B650DB">
      <w:pPr>
        <w:pStyle w:val="ab"/>
        <w:tabs>
          <w:tab w:val="left" w:pos="360"/>
          <w:tab w:val="left" w:pos="9900"/>
        </w:tabs>
        <w:spacing w:before="0" w:after="0"/>
        <w:ind w:left="720"/>
        <w:rPr>
          <w:i/>
        </w:rPr>
      </w:pPr>
    </w:p>
    <w:p w:rsidR="00030E10" w:rsidRP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30E10">
        <w:rPr>
          <w:color w:val="000000"/>
        </w:rPr>
        <w:t xml:space="preserve">Конкурсная комиссия создается Фондом с целью оценки проектов и определения победителей в составе не менее 7 (семи) человек из числа представителей </w:t>
      </w:r>
      <w:r w:rsidRPr="008F1339">
        <w:t xml:space="preserve">негосударственных общественных организаций, </w:t>
      </w:r>
      <w:r>
        <w:t>коммерческих структур и СМИ, представительной ветви власти.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30E10">
        <w:rPr>
          <w:color w:val="000000"/>
        </w:rPr>
        <w:lastRenderedPageBreak/>
        <w:t>Члены конкурсной комиссии осуществляют свою деятельность на добровольной безвозмездной основе.</w:t>
      </w:r>
    </w:p>
    <w:p w:rsidR="00030E10" w:rsidRPr="008F1339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Председатель конкурсной комиссии избирается членами конкурсной комиссии. 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>Решени</w:t>
      </w:r>
      <w:r>
        <w:rPr>
          <w:color w:val="000000"/>
        </w:rPr>
        <w:t>я</w:t>
      </w:r>
      <w:r w:rsidRPr="008F1339">
        <w:rPr>
          <w:color w:val="000000"/>
        </w:rPr>
        <w:t xml:space="preserve"> конкурсной комиссии явля</w:t>
      </w:r>
      <w:r>
        <w:rPr>
          <w:color w:val="000000"/>
        </w:rPr>
        <w:t>ю</w:t>
      </w:r>
      <w:r w:rsidRPr="00353B82">
        <w:rPr>
          <w:color w:val="000000"/>
        </w:rPr>
        <w:t>тся окончательным</w:t>
      </w:r>
      <w:r>
        <w:rPr>
          <w:color w:val="000000"/>
        </w:rPr>
        <w:t>и</w:t>
      </w:r>
      <w:r w:rsidRPr="008F1339">
        <w:rPr>
          <w:color w:val="000000"/>
        </w:rPr>
        <w:t xml:space="preserve"> и пересмотру не подлеж</w:t>
      </w:r>
      <w:r>
        <w:rPr>
          <w:color w:val="000000"/>
        </w:rPr>
        <w:t>ат</w:t>
      </w:r>
      <w:r w:rsidRPr="008F1339">
        <w:rPr>
          <w:color w:val="000000"/>
        </w:rPr>
        <w:t>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A30C21">
        <w:rPr>
          <w:color w:val="000000"/>
        </w:rPr>
        <w:t>Решение комиссии оформляется в письменном виде, подписывается всеми членами и должно содержать решение о признании проектов победителями конкурса (с указанием наименования и авторов проекта, а также суммы финансирования).</w:t>
      </w:r>
    </w:p>
    <w:p w:rsidR="00030E10" w:rsidRPr="008F1339" w:rsidRDefault="00030E10" w:rsidP="00030E10">
      <w:pPr>
        <w:shd w:val="clear" w:color="auto" w:fill="FFFFFF"/>
        <w:tabs>
          <w:tab w:val="left" w:pos="993"/>
        </w:tabs>
        <w:ind w:firstLine="708"/>
        <w:jc w:val="center"/>
        <w:rPr>
          <w:b/>
        </w:rPr>
      </w:pPr>
    </w:p>
    <w:p w:rsidR="00B650DB" w:rsidRDefault="00B650DB" w:rsidP="002F1A6A">
      <w:pPr>
        <w:pStyle w:val="ab"/>
        <w:tabs>
          <w:tab w:val="left" w:pos="360"/>
          <w:tab w:val="left" w:pos="9900"/>
        </w:tabs>
        <w:spacing w:before="0" w:after="0"/>
        <w:jc w:val="center"/>
        <w:rPr>
          <w:b/>
        </w:rPr>
      </w:pPr>
      <w:r>
        <w:rPr>
          <w:b/>
        </w:rPr>
        <w:t xml:space="preserve">6. </w:t>
      </w:r>
      <w:r w:rsidR="0053517A">
        <w:rPr>
          <w:b/>
        </w:rPr>
        <w:t>Критерии отбора победителей</w:t>
      </w:r>
    </w:p>
    <w:p w:rsidR="00B650DB" w:rsidRDefault="00B650DB" w:rsidP="00B650DB">
      <w:pPr>
        <w:pStyle w:val="ab"/>
        <w:tabs>
          <w:tab w:val="left" w:pos="360"/>
          <w:tab w:val="left" w:pos="9900"/>
        </w:tabs>
        <w:spacing w:before="0" w:after="0"/>
        <w:jc w:val="both"/>
      </w:pPr>
    </w:p>
    <w:p w:rsidR="0053517A" w:rsidRPr="0053517A" w:rsidRDefault="0053517A" w:rsidP="0053517A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spacing w:before="0" w:after="0"/>
        <w:ind w:left="0" w:firstLine="708"/>
        <w:jc w:val="both"/>
        <w:rPr>
          <w:color w:val="000000"/>
        </w:rPr>
      </w:pPr>
      <w:r w:rsidRPr="0053517A">
        <w:rPr>
          <w:color w:val="000000"/>
        </w:rPr>
        <w:t>Допущенные к участию в конкурсе проекты оцениваются конкурсной комиссией по следующим критериям: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соответствие проекта условиям конкурса;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социальная значимость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актуальность, новаторские подходы к решению социальных проблем;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ресурсные и кадровые возможности реализации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системность, адресность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использование современных инновационных технологий, форм и методов;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соответствие мероприятий проекта поставленным задачам;</w:t>
      </w:r>
    </w:p>
    <w:p w:rsidR="0053517A" w:rsidRPr="004A759C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4A759C">
        <w:t>реалистично</w:t>
      </w:r>
      <w:r w:rsidR="004A759C" w:rsidRPr="004A759C">
        <w:t xml:space="preserve">сть предполагаемых результатов, </w:t>
      </w:r>
      <w:r w:rsidR="004A759C" w:rsidRPr="004A759C">
        <w:rPr>
          <w:bCs/>
          <w:kern w:val="36"/>
        </w:rPr>
        <w:t xml:space="preserve">устойчивость и успешность проекта на </w:t>
      </w:r>
      <w:r w:rsidR="004A759C">
        <w:rPr>
          <w:bCs/>
          <w:kern w:val="36"/>
        </w:rPr>
        <w:tab/>
      </w:r>
      <w:r w:rsidR="004A759C">
        <w:rPr>
          <w:bCs/>
          <w:kern w:val="36"/>
        </w:rPr>
        <w:tab/>
      </w:r>
      <w:r w:rsidR="004A759C">
        <w:rPr>
          <w:bCs/>
          <w:kern w:val="36"/>
        </w:rPr>
        <w:tab/>
      </w:r>
      <w:r w:rsidR="003E3225">
        <w:rPr>
          <w:bCs/>
          <w:kern w:val="36"/>
        </w:rPr>
        <w:t xml:space="preserve">       </w:t>
      </w:r>
      <w:r w:rsidR="004A759C" w:rsidRPr="004A759C">
        <w:rPr>
          <w:bCs/>
          <w:kern w:val="36"/>
        </w:rPr>
        <w:t>долгосрочный период</w:t>
      </w:r>
      <w:r w:rsidRPr="004A759C">
        <w:t xml:space="preserve"> наличие перспектив дальнейшего развития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рациональность бюджета проекта.</w:t>
      </w:r>
    </w:p>
    <w:p w:rsidR="00B650DB" w:rsidRPr="0053517A" w:rsidRDefault="00B650DB" w:rsidP="0053517A">
      <w:pPr>
        <w:pStyle w:val="ab"/>
        <w:tabs>
          <w:tab w:val="left" w:pos="360"/>
          <w:tab w:val="left" w:pos="709"/>
          <w:tab w:val="left" w:pos="9900"/>
        </w:tabs>
        <w:spacing w:before="0" w:after="0"/>
        <w:jc w:val="both"/>
      </w:pPr>
      <w:r w:rsidRPr="0053517A">
        <w:tab/>
        <w:t xml:space="preserve"> </w:t>
      </w:r>
    </w:p>
    <w:p w:rsidR="00B650DB" w:rsidRDefault="00B650DB" w:rsidP="00B6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7. Финансирование </w:t>
      </w:r>
      <w:r w:rsidR="009C1E98">
        <w:rPr>
          <w:b/>
        </w:rPr>
        <w:t xml:space="preserve">проектов </w:t>
      </w:r>
      <w:r>
        <w:rPr>
          <w:b/>
        </w:rPr>
        <w:t>и отчетность</w:t>
      </w:r>
    </w:p>
    <w:p w:rsidR="00B650DB" w:rsidRDefault="00B650DB" w:rsidP="00B650DB">
      <w:pPr>
        <w:pStyle w:val="ab"/>
        <w:tabs>
          <w:tab w:val="left" w:pos="9900"/>
        </w:tabs>
        <w:spacing w:before="0" w:after="0"/>
        <w:jc w:val="both"/>
      </w:pPr>
    </w:p>
    <w:p w:rsidR="009C1E98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>Финансовая поддержка реализации проектов, признанных конкурсной комиссией победившими, осуществляется путем оказания благотворительной (спонсорской) помощи на основании договора, заключаемого с организацией-победителем.</w:t>
      </w:r>
    </w:p>
    <w:p w:rsidR="009C1E98" w:rsidRPr="008F1339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A2562E">
        <w:rPr>
          <w:color w:val="000000"/>
        </w:rPr>
        <w:t>Основанием для заключения договора об оказании благотворительной (спонсорской) помощи является р</w:t>
      </w:r>
      <w:r w:rsidRPr="008F1339">
        <w:rPr>
          <w:color w:val="000000"/>
        </w:rPr>
        <w:t>ешени</w:t>
      </w:r>
      <w:r w:rsidRPr="00A2562E">
        <w:rPr>
          <w:color w:val="000000"/>
        </w:rPr>
        <w:t>е</w:t>
      </w:r>
      <w:r w:rsidRPr="008F1339">
        <w:t xml:space="preserve"> конкурсной комиссии </w:t>
      </w:r>
      <w:r>
        <w:t>и приказ исполнительного директора Фонда.</w:t>
      </w:r>
    </w:p>
    <w:p w:rsidR="009C1E98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Договор </w:t>
      </w:r>
      <w:r>
        <w:rPr>
          <w:color w:val="000000"/>
        </w:rPr>
        <w:t>об оказании благотворительной (спонсорской) помощи помимо общих условий должен также предусматривать: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указание на решение конкурсной комиссии;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данные проекта (наименование, сроки реализации);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обязательство победителя конкурса о целевом использовании полученной помощи (с предоставлением отчетности);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право Фонда контролировать целевое использование выделенных средств;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ответственность получателя за нецелевое использование в виде возврата полученных средств.</w:t>
      </w:r>
    </w:p>
    <w:p w:rsidR="009C1E98" w:rsidRPr="008F1339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>Полученная в рамках конкурса благотворительная (спонсорская) помощь не может быть направлена (использована) на: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 xml:space="preserve">1) </w:t>
      </w:r>
      <w:r w:rsidRPr="008F1339">
        <w:t>покрытие текущих расходов организации;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 xml:space="preserve">2) </w:t>
      </w:r>
      <w:r w:rsidRPr="008F1339">
        <w:t>проведение научных исследований;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>3)</w:t>
      </w:r>
      <w:r w:rsidRPr="008F1339">
        <w:t xml:space="preserve"> на осуществление деятельности, не связанной с проектом;</w:t>
      </w:r>
    </w:p>
    <w:p w:rsidR="009C1E98" w:rsidRPr="008F1339" w:rsidRDefault="009C1E98" w:rsidP="009C1E98">
      <w:pPr>
        <w:pStyle w:val="ab"/>
        <w:tabs>
          <w:tab w:val="left" w:pos="180"/>
          <w:tab w:val="left" w:pos="993"/>
          <w:tab w:val="left" w:pos="9900"/>
        </w:tabs>
        <w:spacing w:before="0" w:after="0"/>
        <w:ind w:firstLine="708"/>
        <w:jc w:val="both"/>
      </w:pPr>
      <w:r>
        <w:t>4)</w:t>
      </w:r>
      <w:r w:rsidRPr="008F1339">
        <w:t xml:space="preserve"> на реализацию коммерческих проектов, предполагающих извлечение прибыли.</w:t>
      </w:r>
    </w:p>
    <w:p w:rsidR="009C1E98" w:rsidRPr="008F1339" w:rsidRDefault="009C1E98" w:rsidP="009B5643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Факт нецелевого использования </w:t>
      </w:r>
      <w:r w:rsidRPr="007C691A">
        <w:rPr>
          <w:color w:val="000000"/>
        </w:rPr>
        <w:t xml:space="preserve">благотворительной (спонсорской) помощи </w:t>
      </w:r>
      <w:r>
        <w:rPr>
          <w:color w:val="000000"/>
        </w:rPr>
        <w:t>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33CE3" w:rsidRPr="009045A9" w:rsidRDefault="00033CE3" w:rsidP="00B6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033CE3" w:rsidRPr="009045A9" w:rsidSect="007E2F67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60" w:rsidRDefault="003E7860" w:rsidP="0065260E">
      <w:r>
        <w:separator/>
      </w:r>
    </w:p>
  </w:endnote>
  <w:endnote w:type="continuationSeparator" w:id="0">
    <w:p w:rsidR="003E7860" w:rsidRDefault="003E7860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E3" w:rsidRDefault="00AD31E9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F1E">
      <w:rPr>
        <w:noProof/>
      </w:rPr>
      <w:t>3</w:t>
    </w:r>
    <w:r>
      <w:rPr>
        <w:noProof/>
      </w:rPr>
      <w:fldChar w:fldCharType="end"/>
    </w:r>
  </w:p>
  <w:p w:rsidR="00033CE3" w:rsidRDefault="00033CE3">
    <w:pPr>
      <w:pStyle w:val="afb"/>
    </w:pPr>
  </w:p>
  <w:p w:rsidR="00033CE3" w:rsidRDefault="00033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60" w:rsidRDefault="003E7860" w:rsidP="0065260E">
      <w:r>
        <w:separator/>
      </w:r>
    </w:p>
  </w:footnote>
  <w:footnote w:type="continuationSeparator" w:id="0">
    <w:p w:rsidR="003E7860" w:rsidRDefault="003E7860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13C344F"/>
    <w:multiLevelType w:val="hybridMultilevel"/>
    <w:tmpl w:val="F2DECB20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3403F"/>
    <w:multiLevelType w:val="hybridMultilevel"/>
    <w:tmpl w:val="F2DECB20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467BDC"/>
    <w:multiLevelType w:val="hybridMultilevel"/>
    <w:tmpl w:val="C4CAFD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A972A7"/>
    <w:multiLevelType w:val="hybridMultilevel"/>
    <w:tmpl w:val="CF382B6E"/>
    <w:lvl w:ilvl="0" w:tplc="8034C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19"/>
  </w:num>
  <w:num w:numId="16">
    <w:abstractNumId w:val="8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E"/>
    <w:rsid w:val="000074A0"/>
    <w:rsid w:val="00007B2A"/>
    <w:rsid w:val="00007BF2"/>
    <w:rsid w:val="000110E3"/>
    <w:rsid w:val="00012C5E"/>
    <w:rsid w:val="00017EBD"/>
    <w:rsid w:val="000225BB"/>
    <w:rsid w:val="00024159"/>
    <w:rsid w:val="0002780C"/>
    <w:rsid w:val="00030E10"/>
    <w:rsid w:val="00033CE3"/>
    <w:rsid w:val="00044720"/>
    <w:rsid w:val="00045360"/>
    <w:rsid w:val="00051ACD"/>
    <w:rsid w:val="00057DF3"/>
    <w:rsid w:val="00062CA3"/>
    <w:rsid w:val="00077F3D"/>
    <w:rsid w:val="00094F55"/>
    <w:rsid w:val="000D5315"/>
    <w:rsid w:val="000E5A52"/>
    <w:rsid w:val="000E612A"/>
    <w:rsid w:val="000F0001"/>
    <w:rsid w:val="000F36A8"/>
    <w:rsid w:val="000F6D8B"/>
    <w:rsid w:val="00103699"/>
    <w:rsid w:val="00112609"/>
    <w:rsid w:val="00114087"/>
    <w:rsid w:val="0012455C"/>
    <w:rsid w:val="00125CEE"/>
    <w:rsid w:val="00163EFC"/>
    <w:rsid w:val="001818A6"/>
    <w:rsid w:val="00181CC7"/>
    <w:rsid w:val="00185AF3"/>
    <w:rsid w:val="001A0059"/>
    <w:rsid w:val="001A51E1"/>
    <w:rsid w:val="001B69D7"/>
    <w:rsid w:val="001B6E28"/>
    <w:rsid w:val="001C013D"/>
    <w:rsid w:val="001D16CB"/>
    <w:rsid w:val="001D1FA5"/>
    <w:rsid w:val="001D333B"/>
    <w:rsid w:val="001D3B57"/>
    <w:rsid w:val="001D50C8"/>
    <w:rsid w:val="001D664A"/>
    <w:rsid w:val="001D67A1"/>
    <w:rsid w:val="001E787D"/>
    <w:rsid w:val="001F3FAC"/>
    <w:rsid w:val="001F68ED"/>
    <w:rsid w:val="0020121F"/>
    <w:rsid w:val="00212FE4"/>
    <w:rsid w:val="002130ED"/>
    <w:rsid w:val="002218B2"/>
    <w:rsid w:val="0022378C"/>
    <w:rsid w:val="002370B1"/>
    <w:rsid w:val="0024091D"/>
    <w:rsid w:val="00257D34"/>
    <w:rsid w:val="002636F6"/>
    <w:rsid w:val="002675D4"/>
    <w:rsid w:val="0027590C"/>
    <w:rsid w:val="002804CD"/>
    <w:rsid w:val="00285E53"/>
    <w:rsid w:val="00287C0D"/>
    <w:rsid w:val="00294540"/>
    <w:rsid w:val="002B0CDD"/>
    <w:rsid w:val="002B78AB"/>
    <w:rsid w:val="002D6668"/>
    <w:rsid w:val="002D7466"/>
    <w:rsid w:val="002E1E56"/>
    <w:rsid w:val="002E2DB9"/>
    <w:rsid w:val="002E3134"/>
    <w:rsid w:val="002E4307"/>
    <w:rsid w:val="002E5409"/>
    <w:rsid w:val="002F1A6A"/>
    <w:rsid w:val="002F2705"/>
    <w:rsid w:val="0030324B"/>
    <w:rsid w:val="00306205"/>
    <w:rsid w:val="00333B66"/>
    <w:rsid w:val="003415D2"/>
    <w:rsid w:val="00352323"/>
    <w:rsid w:val="003523C7"/>
    <w:rsid w:val="00355A31"/>
    <w:rsid w:val="00357053"/>
    <w:rsid w:val="003573E1"/>
    <w:rsid w:val="0038509A"/>
    <w:rsid w:val="003937F3"/>
    <w:rsid w:val="003A182C"/>
    <w:rsid w:val="003B16C9"/>
    <w:rsid w:val="003B642E"/>
    <w:rsid w:val="003C2663"/>
    <w:rsid w:val="003D0A3F"/>
    <w:rsid w:val="003D2881"/>
    <w:rsid w:val="003D3EE4"/>
    <w:rsid w:val="003E0ADA"/>
    <w:rsid w:val="003E1290"/>
    <w:rsid w:val="003E133E"/>
    <w:rsid w:val="003E3225"/>
    <w:rsid w:val="003E7860"/>
    <w:rsid w:val="003F0BA2"/>
    <w:rsid w:val="003F0C4E"/>
    <w:rsid w:val="003F27A0"/>
    <w:rsid w:val="003F3E3F"/>
    <w:rsid w:val="003F44BE"/>
    <w:rsid w:val="003F5A65"/>
    <w:rsid w:val="003F6B8E"/>
    <w:rsid w:val="003F7DC0"/>
    <w:rsid w:val="00400D51"/>
    <w:rsid w:val="00407F54"/>
    <w:rsid w:val="0041556E"/>
    <w:rsid w:val="00430706"/>
    <w:rsid w:val="00437106"/>
    <w:rsid w:val="00441EFF"/>
    <w:rsid w:val="0044382F"/>
    <w:rsid w:val="00453767"/>
    <w:rsid w:val="00470CCA"/>
    <w:rsid w:val="00471C30"/>
    <w:rsid w:val="00473B42"/>
    <w:rsid w:val="00485E7A"/>
    <w:rsid w:val="00487851"/>
    <w:rsid w:val="00494413"/>
    <w:rsid w:val="004978E5"/>
    <w:rsid w:val="00497EA4"/>
    <w:rsid w:val="004A759C"/>
    <w:rsid w:val="004B0A64"/>
    <w:rsid w:val="004D517D"/>
    <w:rsid w:val="004D6122"/>
    <w:rsid w:val="004E59F2"/>
    <w:rsid w:val="004E799A"/>
    <w:rsid w:val="00505517"/>
    <w:rsid w:val="005113AF"/>
    <w:rsid w:val="00525672"/>
    <w:rsid w:val="0053517A"/>
    <w:rsid w:val="005360B9"/>
    <w:rsid w:val="00536678"/>
    <w:rsid w:val="00543CC6"/>
    <w:rsid w:val="00553EBD"/>
    <w:rsid w:val="005545C7"/>
    <w:rsid w:val="00557D7C"/>
    <w:rsid w:val="00560B0E"/>
    <w:rsid w:val="00562D68"/>
    <w:rsid w:val="00563B28"/>
    <w:rsid w:val="00565430"/>
    <w:rsid w:val="00577721"/>
    <w:rsid w:val="00580879"/>
    <w:rsid w:val="005831EC"/>
    <w:rsid w:val="00584299"/>
    <w:rsid w:val="005846EB"/>
    <w:rsid w:val="005856A1"/>
    <w:rsid w:val="005871DC"/>
    <w:rsid w:val="005A0D69"/>
    <w:rsid w:val="005A3ED7"/>
    <w:rsid w:val="005A475E"/>
    <w:rsid w:val="005B42C8"/>
    <w:rsid w:val="005D4F9A"/>
    <w:rsid w:val="005D7229"/>
    <w:rsid w:val="00600A79"/>
    <w:rsid w:val="006027BA"/>
    <w:rsid w:val="006032FF"/>
    <w:rsid w:val="006162FB"/>
    <w:rsid w:val="006221BE"/>
    <w:rsid w:val="00630C79"/>
    <w:rsid w:val="006344C7"/>
    <w:rsid w:val="00646E34"/>
    <w:rsid w:val="0065260E"/>
    <w:rsid w:val="00665BFB"/>
    <w:rsid w:val="0068280E"/>
    <w:rsid w:val="00690F1E"/>
    <w:rsid w:val="00692345"/>
    <w:rsid w:val="00693639"/>
    <w:rsid w:val="00697829"/>
    <w:rsid w:val="006A23C0"/>
    <w:rsid w:val="006D3E3C"/>
    <w:rsid w:val="006E11F9"/>
    <w:rsid w:val="006E2A09"/>
    <w:rsid w:val="006E32B0"/>
    <w:rsid w:val="007031F5"/>
    <w:rsid w:val="007063CB"/>
    <w:rsid w:val="00711BAB"/>
    <w:rsid w:val="00712BA8"/>
    <w:rsid w:val="007165FD"/>
    <w:rsid w:val="00736DEB"/>
    <w:rsid w:val="0075533C"/>
    <w:rsid w:val="00762E72"/>
    <w:rsid w:val="007735CF"/>
    <w:rsid w:val="00780F0E"/>
    <w:rsid w:val="007835D4"/>
    <w:rsid w:val="00792A5B"/>
    <w:rsid w:val="007A7D28"/>
    <w:rsid w:val="007B2610"/>
    <w:rsid w:val="007C0114"/>
    <w:rsid w:val="007C2817"/>
    <w:rsid w:val="007D1C79"/>
    <w:rsid w:val="007E2F67"/>
    <w:rsid w:val="007E756E"/>
    <w:rsid w:val="007F4496"/>
    <w:rsid w:val="008043C0"/>
    <w:rsid w:val="00804634"/>
    <w:rsid w:val="00807738"/>
    <w:rsid w:val="0081398C"/>
    <w:rsid w:val="0082522D"/>
    <w:rsid w:val="008253C7"/>
    <w:rsid w:val="0082576D"/>
    <w:rsid w:val="00836C36"/>
    <w:rsid w:val="00852377"/>
    <w:rsid w:val="00860F4C"/>
    <w:rsid w:val="00871641"/>
    <w:rsid w:val="00891EAE"/>
    <w:rsid w:val="008A73C5"/>
    <w:rsid w:val="008B046A"/>
    <w:rsid w:val="008B2058"/>
    <w:rsid w:val="008B2646"/>
    <w:rsid w:val="008B701A"/>
    <w:rsid w:val="008D2A8B"/>
    <w:rsid w:val="008D3AA4"/>
    <w:rsid w:val="008E02B3"/>
    <w:rsid w:val="008E2D63"/>
    <w:rsid w:val="008E51C3"/>
    <w:rsid w:val="008E57C2"/>
    <w:rsid w:val="008E68E1"/>
    <w:rsid w:val="008F57DA"/>
    <w:rsid w:val="009045A9"/>
    <w:rsid w:val="009045C8"/>
    <w:rsid w:val="00905DE4"/>
    <w:rsid w:val="00916A86"/>
    <w:rsid w:val="00926B4A"/>
    <w:rsid w:val="00926FD6"/>
    <w:rsid w:val="009270EA"/>
    <w:rsid w:val="00932A7C"/>
    <w:rsid w:val="00932B46"/>
    <w:rsid w:val="00956A71"/>
    <w:rsid w:val="00967217"/>
    <w:rsid w:val="00976B45"/>
    <w:rsid w:val="00993791"/>
    <w:rsid w:val="009A2B71"/>
    <w:rsid w:val="009A3626"/>
    <w:rsid w:val="009B163F"/>
    <w:rsid w:val="009B5643"/>
    <w:rsid w:val="009C1E98"/>
    <w:rsid w:val="009E5F51"/>
    <w:rsid w:val="009F308B"/>
    <w:rsid w:val="00A10B88"/>
    <w:rsid w:val="00A124CD"/>
    <w:rsid w:val="00A143F6"/>
    <w:rsid w:val="00A15F95"/>
    <w:rsid w:val="00A16198"/>
    <w:rsid w:val="00A168B5"/>
    <w:rsid w:val="00A228A2"/>
    <w:rsid w:val="00A26DE7"/>
    <w:rsid w:val="00A346A5"/>
    <w:rsid w:val="00A3787E"/>
    <w:rsid w:val="00A43C54"/>
    <w:rsid w:val="00A5697D"/>
    <w:rsid w:val="00A56BDE"/>
    <w:rsid w:val="00A57249"/>
    <w:rsid w:val="00A72298"/>
    <w:rsid w:val="00A72F0B"/>
    <w:rsid w:val="00A77599"/>
    <w:rsid w:val="00A82F6B"/>
    <w:rsid w:val="00A8599B"/>
    <w:rsid w:val="00A92BD9"/>
    <w:rsid w:val="00A961C9"/>
    <w:rsid w:val="00AA7067"/>
    <w:rsid w:val="00AA75DD"/>
    <w:rsid w:val="00AC0AA8"/>
    <w:rsid w:val="00AC0B4D"/>
    <w:rsid w:val="00AC47ED"/>
    <w:rsid w:val="00AC54A0"/>
    <w:rsid w:val="00AD31E9"/>
    <w:rsid w:val="00AE1CBA"/>
    <w:rsid w:val="00AE4594"/>
    <w:rsid w:val="00AE6F56"/>
    <w:rsid w:val="00B212E3"/>
    <w:rsid w:val="00B35915"/>
    <w:rsid w:val="00B46D15"/>
    <w:rsid w:val="00B54CD4"/>
    <w:rsid w:val="00B626BE"/>
    <w:rsid w:val="00B650DB"/>
    <w:rsid w:val="00B70780"/>
    <w:rsid w:val="00B753C2"/>
    <w:rsid w:val="00B75FE1"/>
    <w:rsid w:val="00B86538"/>
    <w:rsid w:val="00BA3242"/>
    <w:rsid w:val="00BB1A58"/>
    <w:rsid w:val="00BB41E4"/>
    <w:rsid w:val="00BC462D"/>
    <w:rsid w:val="00BC4F1C"/>
    <w:rsid w:val="00BE0531"/>
    <w:rsid w:val="00BE62C2"/>
    <w:rsid w:val="00BE7DE5"/>
    <w:rsid w:val="00C021D3"/>
    <w:rsid w:val="00C112F4"/>
    <w:rsid w:val="00C11A29"/>
    <w:rsid w:val="00C1626B"/>
    <w:rsid w:val="00C27C21"/>
    <w:rsid w:val="00C67AEF"/>
    <w:rsid w:val="00C71707"/>
    <w:rsid w:val="00C769B7"/>
    <w:rsid w:val="00C76A77"/>
    <w:rsid w:val="00C8041E"/>
    <w:rsid w:val="00C93586"/>
    <w:rsid w:val="00CB0C6B"/>
    <w:rsid w:val="00CB7F92"/>
    <w:rsid w:val="00CC4E64"/>
    <w:rsid w:val="00CC5DF3"/>
    <w:rsid w:val="00CE28BD"/>
    <w:rsid w:val="00D01D84"/>
    <w:rsid w:val="00D11469"/>
    <w:rsid w:val="00D2167E"/>
    <w:rsid w:val="00D21B80"/>
    <w:rsid w:val="00D31E36"/>
    <w:rsid w:val="00D379C1"/>
    <w:rsid w:val="00D40BA8"/>
    <w:rsid w:val="00D4469E"/>
    <w:rsid w:val="00D546DC"/>
    <w:rsid w:val="00D709CB"/>
    <w:rsid w:val="00D74FCB"/>
    <w:rsid w:val="00D77F9A"/>
    <w:rsid w:val="00DA1E89"/>
    <w:rsid w:val="00DA2C63"/>
    <w:rsid w:val="00DC0FE4"/>
    <w:rsid w:val="00DC67CE"/>
    <w:rsid w:val="00DD41EE"/>
    <w:rsid w:val="00DD7DE2"/>
    <w:rsid w:val="00DE3FDB"/>
    <w:rsid w:val="00DF3F07"/>
    <w:rsid w:val="00E06762"/>
    <w:rsid w:val="00E30F48"/>
    <w:rsid w:val="00E41C77"/>
    <w:rsid w:val="00E429FF"/>
    <w:rsid w:val="00E4310B"/>
    <w:rsid w:val="00E51841"/>
    <w:rsid w:val="00E5642B"/>
    <w:rsid w:val="00E601F4"/>
    <w:rsid w:val="00E61775"/>
    <w:rsid w:val="00E628DC"/>
    <w:rsid w:val="00E6388C"/>
    <w:rsid w:val="00E71533"/>
    <w:rsid w:val="00E7184F"/>
    <w:rsid w:val="00E84876"/>
    <w:rsid w:val="00E967A9"/>
    <w:rsid w:val="00EA0882"/>
    <w:rsid w:val="00EA56A2"/>
    <w:rsid w:val="00EB673E"/>
    <w:rsid w:val="00EB7D45"/>
    <w:rsid w:val="00EC11FE"/>
    <w:rsid w:val="00EC5E88"/>
    <w:rsid w:val="00EC6557"/>
    <w:rsid w:val="00EC7B2F"/>
    <w:rsid w:val="00ED3428"/>
    <w:rsid w:val="00ED7B9A"/>
    <w:rsid w:val="00EE75E0"/>
    <w:rsid w:val="00EF3582"/>
    <w:rsid w:val="00EF6F59"/>
    <w:rsid w:val="00F02C3A"/>
    <w:rsid w:val="00F13711"/>
    <w:rsid w:val="00F13B38"/>
    <w:rsid w:val="00F21E62"/>
    <w:rsid w:val="00F25EFC"/>
    <w:rsid w:val="00F260DF"/>
    <w:rsid w:val="00F403AF"/>
    <w:rsid w:val="00F4326B"/>
    <w:rsid w:val="00F43B78"/>
    <w:rsid w:val="00F50082"/>
    <w:rsid w:val="00F577F0"/>
    <w:rsid w:val="00F6032D"/>
    <w:rsid w:val="00F6434C"/>
    <w:rsid w:val="00F64A59"/>
    <w:rsid w:val="00F64C40"/>
    <w:rsid w:val="00F71223"/>
    <w:rsid w:val="00F834A6"/>
    <w:rsid w:val="00F86459"/>
    <w:rsid w:val="00F97AEA"/>
    <w:rsid w:val="00FC10C5"/>
    <w:rsid w:val="00FC4F6E"/>
    <w:rsid w:val="00FD0F3D"/>
    <w:rsid w:val="00FD2135"/>
    <w:rsid w:val="00FE152B"/>
    <w:rsid w:val="00FF68D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2AE24-5E5C-4499-83B6-1EBC89A8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C01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AA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013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link w:val="22"/>
    <w:uiPriority w:val="99"/>
    <w:rsid w:val="003F0C4E"/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4B"/>
    <w:rPr>
      <w:rFonts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0324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D3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uiPriority w:val="99"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A3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324B"/>
    <w:rPr>
      <w:rFonts w:cs="Times New Roman"/>
      <w:sz w:val="2"/>
    </w:rPr>
  </w:style>
  <w:style w:type="character" w:styleId="aa">
    <w:name w:val="page number"/>
    <w:basedOn w:val="a0"/>
    <w:rsid w:val="003E1290"/>
    <w:rPr>
      <w:rFonts w:cs="Times New Roman"/>
    </w:rPr>
  </w:style>
  <w:style w:type="paragraph" w:styleId="ab">
    <w:name w:val="Normal (Web)"/>
    <w:basedOn w:val="a"/>
    <w:link w:val="ac"/>
    <w:rsid w:val="00473B42"/>
    <w:pPr>
      <w:spacing w:before="120" w:after="120"/>
    </w:pPr>
  </w:style>
  <w:style w:type="character" w:styleId="ad">
    <w:name w:val="Strong"/>
    <w:basedOn w:val="a0"/>
    <w:uiPriority w:val="99"/>
    <w:qFormat/>
    <w:rsid w:val="00473B42"/>
    <w:rPr>
      <w:rFonts w:cs="Times New Roman"/>
      <w:b/>
      <w:bCs/>
    </w:rPr>
  </w:style>
  <w:style w:type="character" w:customStyle="1" w:styleId="ac">
    <w:name w:val="Обычный (веб) Знак"/>
    <w:basedOn w:val="a0"/>
    <w:link w:val="ab"/>
    <w:uiPriority w:val="99"/>
    <w:locked/>
    <w:rsid w:val="00473B42"/>
    <w:rPr>
      <w:rFonts w:cs="Times New Roman"/>
      <w:sz w:val="24"/>
      <w:szCs w:val="24"/>
      <w:lang w:val="ru-RU" w:eastAsia="ru-RU" w:bidi="ar-SA"/>
    </w:rPr>
  </w:style>
  <w:style w:type="paragraph" w:customStyle="1" w:styleId="114">
    <w:name w:val="Знак Знак1 Знак Знак Знак1 Знак Знак Знак Знак4"/>
    <w:basedOn w:val="a"/>
    <w:autoRedefine/>
    <w:uiPriority w:val="99"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List Paragraph"/>
    <w:basedOn w:val="a"/>
    <w:uiPriority w:val="99"/>
    <w:qFormat/>
    <w:rsid w:val="00FE152B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1C01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C013D"/>
    <w:rPr>
      <w:rFonts w:cs="Times New Roman"/>
      <w:sz w:val="24"/>
      <w:szCs w:val="24"/>
    </w:rPr>
  </w:style>
  <w:style w:type="paragraph" w:customStyle="1" w:styleId="text3cl">
    <w:name w:val="text3cl"/>
    <w:basedOn w:val="a"/>
    <w:uiPriority w:val="99"/>
    <w:rsid w:val="001C013D"/>
    <w:pPr>
      <w:spacing w:before="144" w:after="288"/>
    </w:pPr>
  </w:style>
  <w:style w:type="paragraph" w:customStyle="1" w:styleId="113">
    <w:name w:val="Знак Знак1 Знак Знак Знак1 Знак Знак Знак Знак3"/>
    <w:basedOn w:val="a"/>
    <w:autoRedefine/>
    <w:uiPriority w:val="99"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543CC6"/>
    <w:rPr>
      <w:rFonts w:cs="Times New Roman"/>
    </w:rPr>
  </w:style>
  <w:style w:type="paragraph" w:customStyle="1" w:styleId="text1cl">
    <w:name w:val="text1cl"/>
    <w:basedOn w:val="a"/>
    <w:uiPriority w:val="99"/>
    <w:rsid w:val="00553EBD"/>
    <w:pPr>
      <w:spacing w:before="144" w:after="288"/>
      <w:jc w:val="center"/>
    </w:pPr>
  </w:style>
  <w:style w:type="character" w:styleId="af1">
    <w:name w:val="annotation reference"/>
    <w:basedOn w:val="a0"/>
    <w:rsid w:val="00407F5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407F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407F54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407F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07F54"/>
    <w:rPr>
      <w:rFonts w:cs="Times New Roman"/>
      <w:b/>
      <w:bCs/>
    </w:rPr>
  </w:style>
  <w:style w:type="paragraph" w:styleId="af6">
    <w:name w:val="Revision"/>
    <w:hidden/>
    <w:uiPriority w:val="99"/>
    <w:semiHidden/>
    <w:rsid w:val="00AC54A0"/>
    <w:rPr>
      <w:sz w:val="24"/>
      <w:szCs w:val="24"/>
    </w:rPr>
  </w:style>
  <w:style w:type="character" w:styleId="af7">
    <w:name w:val="Hyperlink"/>
    <w:basedOn w:val="a0"/>
    <w:uiPriority w:val="99"/>
    <w:rsid w:val="001E787D"/>
    <w:rPr>
      <w:rFonts w:cs="Times New Roman"/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uiPriority w:val="99"/>
    <w:rsid w:val="005A3ED7"/>
    <w:rPr>
      <w:rFonts w:cs="Times New Roman"/>
    </w:rPr>
  </w:style>
  <w:style w:type="paragraph" w:customStyle="1" w:styleId="j11">
    <w:name w:val="j11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2"/>
    <w:basedOn w:val="a"/>
    <w:autoRedefine/>
    <w:uiPriority w:val="99"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1">
    <w:name w:val="Знак Знак1 Знак Знак Знак1 Знак Знак Знак Знак1"/>
    <w:basedOn w:val="a"/>
    <w:autoRedefine/>
    <w:uiPriority w:val="99"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8">
    <w:name w:val="line number"/>
    <w:basedOn w:val="a0"/>
    <w:uiPriority w:val="99"/>
    <w:semiHidden/>
    <w:rsid w:val="0065260E"/>
    <w:rPr>
      <w:rFonts w:cs="Times New Roman"/>
    </w:rPr>
  </w:style>
  <w:style w:type="paragraph" w:styleId="af9">
    <w:name w:val="header"/>
    <w:basedOn w:val="a"/>
    <w:link w:val="afa"/>
    <w:uiPriority w:val="99"/>
    <w:semiHidden/>
    <w:rsid w:val="0065260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65260E"/>
    <w:rPr>
      <w:rFonts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65260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65260E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1D1FA5"/>
    <w:pPr>
      <w:ind w:left="720"/>
      <w:contextualSpacing/>
    </w:pPr>
  </w:style>
  <w:style w:type="character" w:styleId="afd">
    <w:name w:val="Emphasis"/>
    <w:basedOn w:val="a0"/>
    <w:uiPriority w:val="99"/>
    <w:qFormat/>
    <w:rsid w:val="00B54CD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locked/>
    <w:rsid w:val="00B5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4CD4"/>
    <w:rPr>
      <w:rFonts w:ascii="Courier New" w:hAnsi="Courier New" w:cs="Courier New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E5642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p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Каримова Батеш Ерболатовна</cp:lastModifiedBy>
  <cp:revision>2</cp:revision>
  <cp:lastPrinted>2016-01-08T05:49:00Z</cp:lastPrinted>
  <dcterms:created xsi:type="dcterms:W3CDTF">2018-01-24T09:18:00Z</dcterms:created>
  <dcterms:modified xsi:type="dcterms:W3CDTF">2018-01-24T09:18:00Z</dcterms:modified>
</cp:coreProperties>
</file>